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25. El quintil más expuesto: efecto real y efecto falso, con cada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3701"/>
        <w:gridCol w:w="5389"/>
        <w:gridCol w:w="4520"/>
        <w:gridCol w:w="4838"/>
        <w:gridCol w:w="39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efecto_porcentual_Real (choque de 2023)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significancia_Placebo (año sin choque: 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significancia_Real (choque de 2023)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2019-2022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2026-09-27T22:30:29Z</dcterms:modified>
  <cp:category/>
</cp:coreProperties>
</file>