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Firmas que cambian de categoría de tamaño entre años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54"/>
        <w:gridCol w:w="239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pct_cambia_tamano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9,087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2026-09-16T22:20:32Z</dcterms:modified>
  <cp:category/>
</cp:coreProperties>
</file>