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Promedio de variables de empleo por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670"/>
        <w:gridCol w:w="2429"/>
        <w:gridCol w:w="2111"/>
        <w:gridCol w:w="294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empleo_permanente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empleo_temporal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participacion_permanente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84.450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49.035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32.955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66.465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66.471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66.470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66.956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122.198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73.796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45.104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67.123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2026-09-16T22:20:30Z</dcterms:modified>
  <cp:category/>
</cp:coreProperties>
</file>