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Tamaño de empresa fijado en 2022 (control usado en las estimaciones)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1,884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2026-09-16T22:20:31Z</dcterms:modified>
  <cp:category/>
</cp:coreProperties>
</file>