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Sin tendencia, muestra completa: controles fijados en 2022 vs. contemporáneos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2"/>
        <w:gridCol w:w="1683"/>
        <w:gridCol w:w="2049"/>
        <w:gridCol w:w="1034"/>
        <w:gridCol w:w="961"/>
        <w:gridCol w:w="961"/>
        <w:gridCol w:w="1084"/>
        <w:gridCol w:w="12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n_obs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2026-09-16T22:00:51Z</dcterms:modified>
  <cp:category/>
</cp:coreProperties>
</file>