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Primer eslabón: salto 2023 del salario promedio (asinh) por +1 DE de exposición, frente al incremento típico 2016-2019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683"/>
        <w:gridCol w:w="1377"/>
        <w:gridCol w:w="1316"/>
        <w:gridCol w:w="1084"/>
        <w:gridCol w:w="1157"/>
        <w:gridCol w:w="1084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ninguno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ninguno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comun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2026-09-16T22:20:51Z</dcterms:modified>
  <cp:category/>
</cp:coreProperties>
</file>