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Test conjunto de tendencias diferenciales 2015-2019 (ref. 2015): sin controles, controles 2022 y controles contemporáneos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683"/>
        <w:gridCol w:w="1303"/>
        <w:gridCol w:w="1952"/>
        <w:gridCol w:w="2160"/>
        <w:gridCol w:w="251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p_sin_controles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p_controles_2022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p_controles_contemp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2026-09-16T22:20:43Z</dcterms:modified>
  <cp:category/>
</cp:coreProperties>
</file>