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Estabilidad de las medidas entre 2019 y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21"/>
        <w:gridCol w:w="151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firmas_con_ambos_anios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5,485.0000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pearson_golpe_c_2022_2019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spearman_golpe_c_2022_2019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pearson_golpe_a_2022_2019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spearman_golpe_a_2022_2019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pearson_golpe_costo_2022_2019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0.4718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spearman_golpe_costo_2022_2019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0.7543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2026-09-27T18:31:12Z</dcterms:modified>
  <cp:category/>
</cp:coreProperties>
</file>