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Tabla 7. Correlaciones entre las medidas de exposición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698"/>
        <w:gridCol w:w="2698"/>
        <w:gridCol w:w="1206"/>
        <w:gridCol w:w="1389"/>
        <w:gridCol w:w="961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medida_1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medida_2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pearson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spearman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golpe_c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golpe_costo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0.7999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0.7593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5,742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golpe_a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golpe_c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0.8784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0.8335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5,742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golpe_a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golpe_costo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0.7831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0.7624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5,742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brecha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golpe_c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0.1324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0.5645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5,742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brecha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golpe_a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0.0898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0.2958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5,742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brecha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golpe_costo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-0.0619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-0.0107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5,742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brecha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Exposure2022_obreros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-0.0451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-0.3096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5,742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Bite2022_obreros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golpe_c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0.6567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0.6128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5,099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Bite2022_obreros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golpe_a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0.8131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0.8153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5,099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Bite2022_obreros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golpe_costo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0.6407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0.6288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5,099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Bite2022_obreros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brecha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0.1065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0.1633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5,099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Bite2022_obreros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Exposure2022_obreros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0.1242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0.1590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5,099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Exposure2022_obreros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golpe_c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0.1151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0.1273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5,742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Exposure2022_obreros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golpe_a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0.2515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0.3089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5,742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Exposure2022_obreros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golpe_costo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0.3090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0.3905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6,178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2026-09-27T18:31:39Z</dcterms:modified>
  <cp:category/>
</cp:coreProperties>
</file>