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Qué tan cerca del mínimo está cada categoría ocupacional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49"/>
        <w:gridCol w:w="1010"/>
        <w:gridCol w:w="2673"/>
        <w:gridCol w:w="2428"/>
        <w:gridCol w:w="278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pct_bajo_1_5_minimos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pct_bajo_2_minimos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mediana_veces_minimo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w_administrativo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w_profesional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2026-09-27T18:36:38Z</dcterms:modified>
  <cp:category/>
</cp:coreProperties>
</file>