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Pendiente anual pre-período (2015-2019, 2021), interacción exposición x año centrado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2454"/>
        <w:gridCol w:w="1084"/>
        <w:gridCol w:w="1132"/>
        <w:gridCol w:w="1609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pendiente_anual_pct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29,903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33,126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33,126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35,869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35,869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2026-09-26T21:01:34Z</dcterms:modified>
  <cp:category/>
</cp:coreProperties>
</file>