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Misma pendiente anual, excluyendo 2019 (el año que también se usa para construir la exposición)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54"/>
        <w:gridCol w:w="1084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pendiente_anual_pct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29,781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29,781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2026-09-26T21:01:34Z</dcterms:modified>
  <cp:category/>
</cp:coreProperties>
</file>