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Coeficiente de 2019 frente al rango 2015-2021 -- ¿es el más extremo de la serie?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438"/>
        <w:gridCol w:w="1891"/>
        <w:gridCol w:w="1952"/>
        <w:gridCol w:w="3224"/>
        <w:gridCol w:w="261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rango_pre_min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rango_pre_max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es_el_maximo_en_magnitud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posicion_en_magnitud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2026-09-26T21:01:36Z</dcterms:modified>
  <cp:category/>
</cp:coreProperties>
</file>