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Coeficientes año a año (frente a 2022), exposición de 2019, las cinco medidas: efecto, EE, IC 95%, p-valor, 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426"/>
        <w:gridCol w:w="1084"/>
        <w:gridCol w:w="1585"/>
        <w:gridCol w:w="1707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-7.5657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-7.4135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53,517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2026-09-26T20:53:46Z</dcterms:modified>
  <cp:category/>
</cp:coreProperties>
</file>