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Contraste formal: coeficiente de 2023 menos el promedio de 2015-2019 (exposición 2019), con error estándar y p-valor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074"/>
        <w:gridCol w:w="2551"/>
        <w:gridCol w:w="1780"/>
        <w:gridCol w:w="214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promedio_2015_2019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ee_diferencia_pct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2026-09-26T20:53:49Z</dcterms:modified>
  <cp:category/>
</cp:coreProperties>
</file>