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N de firmas con exposición válida en 2019 vs. 2022, traslape y exclusivas,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145"/>
        <w:gridCol w:w="1145"/>
        <w:gridCol w:w="1683"/>
        <w:gridCol w:w="1671"/>
        <w:gridCol w:w="167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n_en_ambas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n_solo_2019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n_solo_2022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2026-09-26T20:53:50Z</dcterms:modified>
  <cp:category/>
</cp:coreProperties>
</file>