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5b. Caracterización por tamaño y sector de las firmas exclusivas de cada año y las que están en ambas (Bite)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66"/>
        <w:gridCol w:w="1254"/>
        <w:gridCol w:w="2539"/>
        <w:gridCol w:w="2527"/>
        <w:gridCol w:w="2368"/>
        <w:gridCol w:w="2991"/>
        <w:gridCol w:w="31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tamano_pequena_pct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tamano_mediana_pct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tamano_grande_pct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n_sectores_ciiu4_distintos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pct_con_clasificacion_2022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2019 (propio año: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en 2022 (propio año: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ambas (propio año: 2022)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2026-09-26T20:53:50Z</dcterms:modified>
  <cp:category/>
</cp:coreProperties>
</file>