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5e. p-valor del test conjunto: muestra completa (todas las firmas con exposición 2019 válida) vs. muestra común (también válidas en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3064"/>
        <w:gridCol w:w="2025"/>
        <w:gridCol w:w="2832"/>
        <w:gridCol w:w="2710"/>
        <w:gridCol w:w="20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p_valor_muestra_completa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2026-09-26T20:53:52Z</dcterms:modified>
  <cp:category/>
</cp:coreProperties>
</file>