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6a. Coeficientes año a año (frente a 2022), exposición de 2022 (estándar, contaminada),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426"/>
        <w:gridCol w:w="1084"/>
        <w:gridCol w:w="1585"/>
        <w:gridCol w:w="1707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-3.0413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2026-09-26T20:53:54Z</dcterms:modified>
  <cp:category/>
</cp:coreProperties>
</file>