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Estructura del cuadro 3: C3R10 = suma(C3R1..C3R9), por categoria y año (Item 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54"/>
        <w:gridCol w:w="2404"/>
        <w:gridCol w:w="279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pct_coincide_exacto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(C1)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 (PT)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 (C2)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(C3)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2026-09-26T22:12:14Z</dcterms:modified>
  <cp:category/>
</cp:coreProperties>
</file>