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Disponibilidad de CIIU3 vs CIIU4 por año -- 0 años de solapamiento (Item 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92"/>
        <w:gridCol w:w="23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pct_ciiu4_disponible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pct_ciiu3_disponible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2026-09-26T22:12:15Z</dcterms:modified>
  <cp:category/>
</cp:coreProperties>
</file>