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Causa 1: % incoherente según si reporta salario integral (chi2=2789.2, p=0)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58"/>
        <w:gridCol w:w="1084"/>
        <w:gridCol w:w="197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pct_incoherente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Reporta salario integral &gt; 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20,378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80.950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reporta salario integral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77,310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61.140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2026-09-26T22:19:44Z</dcterms:modified>
  <cp:category/>
</cp:coreProperties>
</file>