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Causa 4: patrón conjunto de incoherencia en 2019, 2021 y 2022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10"/>
        <w:gridCol w:w="1010"/>
        <w:gridCol w:w="1010"/>
        <w:gridCol w:w="961"/>
        <w:gridCol w:w="108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y2021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40.420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4.920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4.660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2026-09-26T22:19:50Z</dcterms:modified>
  <cp:category/>
</cp:coreProperties>
</file>