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Prueba 2: serie anual de la tasa de parafiscales, por categoría (base: C3R2 + C3R4 (permanentes + temporal directo))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2306"/>
        <w:gridCol w:w="961"/>
        <w:gridCol w:w="1084"/>
        <w:gridCol w:w="1255"/>
        <w:gridCol w:w="1084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2026-09-26T22:19:22Z</dcterms:modified>
  <cp:category/>
</cp:coreProperties>
</file>