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1. Primer eslabón: efecto sobre el costo laboral por trabajador, tres lecturas y cinco medidas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969"/>
        <w:gridCol w:w="4679"/>
        <w:gridCol w:w="1426"/>
        <w:gridCol w:w="1585"/>
        <w:gridCol w:w="1707"/>
        <w:gridCol w:w="1132"/>
        <w:gridCol w:w="1609"/>
        <w:gridCol w:w="1365"/>
        <w:gridCol w:w="1829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medida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lectura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efecto_pct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ic95_inf_pct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ic95_sup_pct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p_valor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significancia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p_previos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observaciones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A. Cambio 2022 -&gt; 2023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3.269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2.313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4.226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44,614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B. Salto 2023 ajustado por tendencia previa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3.948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2.919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4.977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44,614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C. DiD simple (promedio post - pre)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-0.852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-1.553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44,614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D. 2023 frente a 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-1.346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44,614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(proporción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A. Cambio 2022 -&gt; 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-0.789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53,985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(proporción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B. Salto 2023 ajustado por tendencia previa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-0.432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53,985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(proporción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C. DiD simple (promedio post - pre)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-0.986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53,985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(proporción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D. 2023 frente a 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-0.799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53,985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(nivel salarial, 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A. Cambio 2022 -&gt; 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3.548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2.597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4.499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50,184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(nivel salarial, 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B. Salto 2023 ajustado por tendencia previa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4.637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3.627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5.647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50,184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(nivel salarial, 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C. DiD simple (promedio post - pre)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-2.026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-2.674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-1.378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50,184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(nivel salarial, 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D. 2023 frente a 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-1.501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50,184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(armónica 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A. Cambio 2022 -&gt; 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3.722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2.793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4.650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50,184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(armónica 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B. Salto 2023 ajustado por tendencia previa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4.820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3.827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5.813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50,184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(armónica 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C. DiD simple (promedio post - pre)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-1.558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-2.220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-0.896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50,184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(armónica 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D. 2023 frente a 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-1.143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50,184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 (costo laboral total)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A. Cambio 2022 -&gt; 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9.365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8.163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10.568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53,972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 (costo laboral total)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B. Salto 2023 ajustado por tendencia previa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10.717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9.477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11.956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53,972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 (costo laboral total)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C. DiD simple (promedio post - pre)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-1.912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-2.649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-1.175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53,972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 (costo laboral total)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D. 2023 frente a 2021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0.451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-0.829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1.731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0.490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53,972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2026-10-01T18:40:38Z</dcterms:modified>
  <cp:category/>
</cp:coreProperties>
</file>