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2. Segundo eslabón: efecto sobre el empleo total (trabajadores o % según la escala)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951"/>
        <w:gridCol w:w="4679"/>
        <w:gridCol w:w="1426"/>
        <w:gridCol w:w="1585"/>
        <w:gridCol w:w="1707"/>
        <w:gridCol w:w="1132"/>
        <w:gridCol w:w="1609"/>
        <w:gridCol w:w="1365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escala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lectura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-3.017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-7.366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-10.193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-4.538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-8.877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54,014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54,014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54,014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54,014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-5.742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-6.671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-8.688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-7.589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-4.552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-4.747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-8.662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-5.778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-4.325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-5.713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-3.337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-4.738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-3.353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-5.648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-4.421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-5.884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53,975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-2.174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-3.566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-0.783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2026-10-01T18:40:43Z</dcterms:modified>
  <cp:category/>
</cp:coreProperties>
</file>