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Elasticidad implícita empleo-costo laboral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43"/>
        <w:gridCol w:w="1548"/>
        <w:gridCol w:w="1768"/>
        <w:gridCol w:w="1891"/>
        <w:gridCol w:w="1450"/>
        <w:gridCol w:w="2086"/>
        <w:gridCol w:w="220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primer_eslabon_pct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2026-10-01T18:40:45Z</dcterms:modified>
  <cp:category/>
</cp:coreProperties>
</file>