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Efecto en 2023 por quintil del Kaitz frente al quintil 1 (dosis-respuesta)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820"/>
        <w:gridCol w:w="985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-11.794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2026-10-01T18:41:07Z</dcterms:modified>
  <cp:category/>
</cp:coreProperties>
</file>