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9 (con control de tamaño x año). Efecto en 2023 por quintil del Kaitz frente al quintil 1 (dosis-respuesta)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20"/>
        <w:gridCol w:w="985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-5.627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2026-10-01T18:49:45Z</dcterms:modified>
  <cp:category/>
</cp:coreProperties>
</file>