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9a. Quintiles del Kaitz de obreros (2022): firmas y rangos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60"/>
        <w:gridCol w:w="1010"/>
        <w:gridCol w:w="1340"/>
        <w:gridCol w:w="1829"/>
        <w:gridCol w:w="140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quintil_kaitz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kaitz_min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kaitz_mediano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kaitz_max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1.076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2026-10-01T18:41:05Z</dcterms:modified>
  <cp:category/>
</cp:coreProperties>
</file>