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Cobertura (%faltantes / %ceros) de variables clave, por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4276"/>
        <w:gridCol w:w="1206"/>
        <w:gridCol w:w="125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pct_cero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23.650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24.390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23.390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22.280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22.180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19.390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18.770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18.450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17.810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17.860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18.250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17.510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17.230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65.030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63.950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63.020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64.850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63.540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62.230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62.720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62.610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61.210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60.780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59.250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58.520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58.720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57.940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57.690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58.160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67.100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72.600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74.420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75.380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74.950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74.970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74.370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72.380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72.140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71.830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71.390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72.190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71.470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69.880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69.770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70.020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78.150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82.120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82.780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82.910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82.490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81.560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81.300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79.590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78.750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77.830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76.690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78.600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79.980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79.660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79.330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77.450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23.510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24.290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23.320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22.230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22.120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18.770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18.470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17.770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18.250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17.430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17.140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16.890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77.090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79.850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81.350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82.300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81.240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80.660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80.770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80.180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77.880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77.250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76.580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75.960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23.600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96.210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2026-09-21T19:41:50Z</dcterms:modified>
  <cp:category/>
</cp:coreProperties>
</file>