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A1. Peso de w_obrero en c y su correlación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577"/>
        <w:gridCol w:w="15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 con ambos componentes,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5,102.0000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promedio de la masa salarial de obreros permanentes en 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mediano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Correlación w_obrero (por trabajador) vs c (por trabajador),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Correlación log(w_obrero) vs log(c),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2026-09-26T18:57:27Z</dcterms:modified>
  <cp:category/>
</cp:coreProperties>
</file>