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A2. Razón observada de caída (limpia/estándar) vs. rho (correlación 2019-2022), las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2636"/>
        <w:gridCol w:w="1988"/>
        <w:gridCol w:w="1707"/>
        <w:gridCol w:w="2111"/>
        <w:gridCol w:w="1646"/>
        <w:gridCol w:w="2514"/>
        <w:gridCol w:w="961"/>
        <w:gridCol w:w="32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efecto_limpio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razon_observada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rho_pearson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n_firmas_con_ambas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diferencia_razon_menos_rho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-0.649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2026-09-26T18:57:29Z</dcterms:modified>
  <cp:category/>
</cp:coreProperties>
</file>