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A3b. Correlación entre efecto y aumento real acumulado en la ventana,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316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correlacion_con_acumulado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2026-09-26T18:57:38Z</dcterms:modified>
  <cp:category/>
</cp:coreProperties>
</file>