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A4b. Correlación con IC 95% (Fisher), n=8,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533"/>
        <w:gridCol w:w="1034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2026-09-26T18:57:42Z</dcterms:modified>
  <cp:category/>
</cp:coreProperties>
</file>