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Cuánto del coeficiente de 2023 sobrevive al cortar el traslape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988"/>
        <w:gridCol w:w="1512"/>
        <w:gridCol w:w="1512"/>
        <w:gridCol w:w="1707"/>
        <w:gridCol w:w="1230"/>
        <w:gridCol w:w="1230"/>
        <w:gridCol w:w="2257"/>
        <w:gridCol w:w="1670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pct_que_sobrevive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sig_limpio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385.200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2026-09-26T18:28:31Z</dcterms:modified>
  <cp:category/>
</cp:coreProperties>
</file>