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Celda limpia año por año, las cinco medidas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36"/>
        <w:gridCol w:w="2636"/>
        <w:gridCol w:w="1671"/>
        <w:gridCol w:w="1988"/>
        <w:gridCol w:w="2514"/>
        <w:gridCol w:w="1426"/>
        <w:gridCol w:w="1071"/>
        <w:gridCol w:w="1132"/>
        <w:gridCol w:w="1609"/>
        <w:gridCol w:w="1010"/>
        <w:gridCol w:w="1487"/>
        <w:gridCol w:w="1034"/>
        <w:gridCol w:w="104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clave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anio_exposicion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aumento_minimo_pct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efecto_pct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ee_pct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p_valor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significancia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es_choque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ic_inf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ic_sup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5,439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1.129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 (Kaitz de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1.474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2.259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 (3 categorías)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1.443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1.696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A (ponderada)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1.535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1.387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2.558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Golpe costo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2,010.000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2,011.000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2,012.000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2,013.000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2,014.000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1.581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2,017.000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**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2.191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2,018.000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16.000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(% obreros)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2,019.000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5,172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-0.575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0.973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2026-09-25T00:06:32Z</dcterms:modified>
  <cp:category/>
</cp:coreProperties>
</file>