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3. Heterogeneidad medianas, empleo -- las tres celdas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409"/>
        <w:gridCol w:w="1426"/>
        <w:gridCol w:w="1132"/>
        <w:gridCol w:w="1609"/>
        <w:gridCol w:w="1084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celda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significancia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A. Controles viejos, muestra completa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1.4168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0.0205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13,947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B. Controles viejos, muestra restringida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1.4168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13,947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D. Controles nuevos, muestra restringida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-0.4819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0.6017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14,297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2026-09-26T19:18:01Z</dcterms:modified>
  <cp:category/>
</cp:coreProperties>
</file>