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Estructura del cuadro 3: C3R10 = suma(C3R1..C3R9), por categoria y año (Item 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254"/>
        <w:gridCol w:w="2404"/>
        <w:gridCol w:w="279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pct_coincide_exacto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72.800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2026-09-24T19:53:25Z</dcterms:modified>
  <cp:category/>
</cp:coreProperties>
</file>