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R1/R2/R3CSAP: correlacion contra aprendices por categoria (Item 5)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1"/>
        <w:gridCol w:w="1939"/>
        <w:gridCol w:w="1866"/>
        <w:gridCol w:w="1793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serie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vs_obreros_apr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vs_proftec_apr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vs_admin_apr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R1CSAP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R2CSAP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R3CSAP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2026-09-24T19:53:26Z</dcterms:modified>
  <cp:category/>
</cp:coreProperties>
</file>