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Disponibilidad de CIIU3 vs CIIU4 por año -- 0 años de solapamiento (Item 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92"/>
        <w:gridCol w:w="23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pct_ciiu4_disponible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pct_ciiu3_disponible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2026-09-24T19:53:26Z</dcterms:modified>
  <cp:category/>
</cp:coreProperties>
</file>