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3: % que reporta C3R20&gt;0, coherentes vs. incoherentes, por sector (CIIU 2 dígitos)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3"/>
        <w:gridCol w:w="2624"/>
        <w:gridCol w:w="2526"/>
        <w:gridCol w:w="4288"/>
        <w:gridCol w:w="4190"/>
        <w:gridCol w:w="17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n_incoherente_FALSE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n_incoherente_TRUE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pct_reporta_c3r20_incoherente_FALSE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pct_reporta_c3r20_incoherente_TRUE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83.940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2026-09-24T20:28:20Z</dcterms:modified>
  <cp:category/>
</cp:coreProperties>
</file>