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Causa 3: resumen (chi2=506.1, p=4.57e-112)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45"/>
        <w:gridCol w:w="108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metrica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reporta C3R20&gt;0 entre incoherentes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66.800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reporta C3R20&gt;0 entre coherentes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77.820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Diferencia promedio por sector (pp)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9.980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2026-09-24T20:28:21Z</dcterms:modified>
  <cp:category/>
</cp:coreProperties>
</file>