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de atribución: evidencia por causa (no es un waterfall estricto -- ver aviso en el script)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94"/>
        <w:gridCol w:w="5302"/>
        <w:gridCol w:w="16319"/>
        <w:gridCol w:w="11233"/>
        <w:gridCol w:w="72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causa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ventana_valida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evidencia_principal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pct_incoherencia_resuelto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veredicto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Base reducida salario integral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2008-2019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80.95% incoherentes CON integral vs 61.14% SIN (chi2=2789, p≈0). Pero la corrección probada (divisor mezclado) NO reduce la incoherencia: 65.27% -&gt; 65.51%.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0% (la corrección probada no funciona)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Asociada, NO resuelta con esta corrección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Mezcla de poblaciones (C2+C4)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todos los años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Correlación incoherencia vs. intensidad temporal directo ≈ 0 (-0.019). Poblaciones emparejadas EMPEORAN: 34.9% -&gt; 51.24% incoherente.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-16.3pp (empeora)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Rechazada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Firmas no contribuyentes de renta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2013-2016 (único período con C3R20 informativo)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66.8% de incoherentes reporta C3R20&gt;0 vs. 77.82% de coherentes (11pp, chi2=506, p=4.6e-112), consistente en 23 sectores (dif. promedio 9.98pp).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medible directamente en 2022 (C3R20=0 universal desde 2017, Ley 1819)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Evidencia más fuerte de las 4, pero no verificable en el año de interés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Ruido de reporte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todos los años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Persistencia condicional post-2013: 57%-70% vs. tasa base 25%-35%. En 2019-2021-2022: 10.46% SIEMPRE incoherente, 40.42% NUNCA, 49.12% intermitente.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~40% del patrón es compatible con ruido puro (nunca incoherente); ~10% persistente (estructural, sin resolver)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Parcial: mayoritariamente ruido, con un núcleo estructural no resuelto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2026-09-24T20:28:23Z</dcterms:modified>
  <cp:category/>
</cp:coreProperties>
</file>