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Cobertura de las categorías ocupacionales en 2022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45"/>
        <w:gridCol w:w="1621"/>
        <w:gridCol w:w="143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con_profesional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con_administrativo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con_alguna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solo_una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las_tres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51.29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sin_ninguna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2026-09-24T20:35:00Z</dcterms:modified>
  <cp:category/>
</cp:coreProperties>
</file>