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Prueba 1: bandas y percentiles de la tasa de parafiscales, 2022 (base: C3R2 + C3R4 (permanentes + temporal directo))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961"/>
        <w:gridCol w:w="1854"/>
        <w:gridCol w:w="1854"/>
        <w:gridCol w:w="1426"/>
        <w:gridCol w:w="2013"/>
        <w:gridCol w:w="1084"/>
        <w:gridCol w:w="1084"/>
        <w:gridCol w:w="1255"/>
        <w:gridCol w:w="1084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pct_cerca_004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pct_cerca_009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pct_fuera_rango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p75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40.5900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40.2400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55.7200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25.4600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48.9400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44.1500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7.5900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40.5800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2026-09-24T20:17:17Z</dcterms:modified>
  <cp:category/>
</cp:coreProperties>
</file>