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2: serie anual de la tasa de parafiscales, por categoría (base: C3R2 + C3R4 (permanentes + temporal directo))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2306"/>
        <w:gridCol w:w="961"/>
        <w:gridCol w:w="1084"/>
        <w:gridCol w:w="1255"/>
        <w:gridCol w:w="10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2026-09-24T20:17:19Z</dcterms:modified>
  <cp:category/>
</cp:coreProperties>
</file>