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Mecanismos de ajuste ordenados por magnitud, en desviaciones estándar del propio mecanismo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55"/>
        <w:gridCol w:w="3321"/>
        <w:gridCol w:w="2074"/>
        <w:gridCol w:w="1193"/>
        <w:gridCol w:w="1316"/>
        <w:gridCol w:w="1756"/>
        <w:gridCol w:w="961"/>
        <w:gridCol w:w="2074"/>
        <w:gridCol w:w="1756"/>
        <w:gridCol w:w="961"/>
        <w:gridCol w:w="1365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mecanismo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efecto_B_en_DE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ic_B_inf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ic_B_sup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p_B_ajustado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efecto_A_en_DE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p_A_ajustado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p_previos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Compresión salarial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 salarial obrero/admin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40,726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Outsourcing /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Pago a agencias /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Hace outsourcing (sí/no)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Participación de 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Usa agencias (sí/no)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Participación de temporales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Participación de 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 (VA/trabajador)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Honorarios /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43,675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Producción bruta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23,804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agregado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Inversión bruta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31,129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2026-09-26T19:44:37Z</dcterms:modified>
  <cp:category/>
</cp:coreProperties>
</file>