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Cobertura de cada medida y del outcome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Cobertura de cada medida y del outcome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98"/>
        <w:gridCol w:w="2331"/>
        <w:gridCol w:w="35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firmas_con_medida_y_outcome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</w:tr>
    </w:tbl>
    <w:p>
      <w:pPr>
        <w:pStyle w:val="Titre2"/>
      </w:pPr>
      <w:r>
        <w:t xml:space="preserve">Tabla 2. Primer eslabón: efecto de una DE de exposición sobre el crecimiento del costo laboral 2022-2023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Primer eslabón: efecto de una DE de exposición sobre el crecimiento del costo laboral 2022-2023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205"/>
        <w:gridCol w:w="1303"/>
        <w:gridCol w:w="1462"/>
        <w:gridCol w:w="1854"/>
        <w:gridCol w:w="1132"/>
        <w:gridCol w:w="1609"/>
        <w:gridCol w:w="1609"/>
        <w:gridCol w:w="1731"/>
        <w:gridCol w:w="1426"/>
        <w:gridCol w:w="1829"/>
        <w:gridCol w:w="15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r2_ajustado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8.9070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Común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</w:tr>
    </w:tbl>
    <w:p>
      <w:pPr>
        <w:pStyle w:val="Titre2"/>
      </w:pPr>
      <w:r>
        <w:t xml:space="preserve">Tabla 3. Coeficiente del primer eslabón con exposición medida en 2022 y en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Coeficiente del primer eslabón con exposición medida en 2022 y en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5"/>
        <w:gridCol w:w="2038"/>
        <w:gridCol w:w="1744"/>
        <w:gridCol w:w="2038"/>
        <w:gridCol w:w="1744"/>
        <w:gridCol w:w="299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pareja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coef_base_2022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p_base_2022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coef_base_2019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p_base_2019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porcentaje_que_sobrevive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25.2000</w:t>
            </w:r>
          </w:p>
        </w:tc>
      </w:tr>
    </w:tbl>
    <w:p>
      <w:pPr>
        <w:pStyle w:val="Titre2"/>
      </w:pPr>
      <w:r>
        <w:t xml:space="preserve">Tabla 4. Primer eslabón en el año del choque y en un período sin choque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Primer eslabón en el año del choque y en un período sin choque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19"/>
        <w:gridCol w:w="1462"/>
        <w:gridCol w:w="1854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5,949</w:t>
            </w:r>
          </w:p>
        </w:tc>
      </w:tr>
    </w:tbl>
    <w:p>
      <w:pPr>
        <w:pStyle w:val="Titre2"/>
      </w:pPr>
      <w:r>
        <w:t xml:space="preserve">Tabla 5. Primer eslabón con y sin controles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Primer eslabón con y sin controles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768"/>
        <w:gridCol w:w="1462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</w:tr>
    </w:tbl>
    <w:p>
      <w:pPr>
        <w:pStyle w:val="Titre2"/>
      </w:pPr>
      <w:r>
        <w:t xml:space="preserve">Tabla 6. Primer eslabón con errores agrupados por sector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Primer eslabón con errores agrupados por sector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462"/>
        <w:gridCol w:w="2649"/>
        <w:gridCol w:w="1585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error_agrupado_sector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p_agrupado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Titre2"/>
      </w:pPr>
      <w:r>
        <w:t xml:space="preserve">Tabla 7. Crecimiento del costo laboral por quintil de exposición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Crecimiento del costo laboral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985"/>
        <w:gridCol w:w="1010"/>
        <w:gridCol w:w="2918"/>
        <w:gridCol w:w="267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crecimiento_mediano_pct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crecimiento_medio_pct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13.36</w:t>
            </w:r>
          </w:p>
        </w:tc>
      </w:tr>
    </w:tbl>
    <w:p>
      <w:pPr>
        <w:pStyle w:val="Titre2"/>
      </w:pPr>
      <w:r>
        <w:t xml:space="preserve">Tabla 8. Resumen del primer eslabón en la muestra común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Resumen del primer eslabón en la muestra común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462"/>
        <w:gridCol w:w="1426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8.9070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2026-09-24T20:47:44Z</dcterms:modified>
  <cp:category/>
</cp:coreProperties>
</file>