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Cobertura de cada medida y del outcome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98"/>
        <w:gridCol w:w="2331"/>
        <w:gridCol w:w="35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firmas_con_medida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firmas_con_medida_y_outcome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Bite2022_obreros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4,972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Exposure2022_obreros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5,572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golpe_costo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6,083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5,942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2026-09-24T20:45:29Z</dcterms:modified>
  <cp:category/>
</cp:coreProperties>
</file>